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58" w:rsidRPr="003B5D58" w:rsidRDefault="003B5D58" w:rsidP="003B5D58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</w:pPr>
      <w:r w:rsidRPr="003B5D58"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  <w:t>НОВОЕ В ЗАКОНОДАТЕЛЬСТВЕ</w:t>
      </w:r>
      <w:bookmarkStart w:id="0" w:name="_GoBack"/>
      <w:bookmarkEnd w:id="0"/>
    </w:p>
    <w:p w:rsidR="003B5D58" w:rsidRPr="003B5D58" w:rsidRDefault="003B5D58" w:rsidP="003B5D58">
      <w:pPr>
        <w:spacing w:after="0" w:line="240" w:lineRule="auto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fldChar w:fldCharType="begin"/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instrText xml:space="preserve"> HYPERLINK "http://kobrin.brest-region.gov.by/printv/ru/2018-12-13-09-07-13-1436-ru/view/novoe-v-zakonodatelstve-2000013870" </w:instrTex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fldChar w:fldCharType="separate"/>
      </w:r>
      <w:r w:rsidRPr="003B5D58">
        <w:rPr>
          <w:rFonts w:ascii="Arial" w:eastAsia="Times New Roman" w:hAnsi="Arial" w:cs="Arial"/>
          <w:color w:val="1A6B9F"/>
          <w:sz w:val="2"/>
          <w:szCs w:val="2"/>
          <w:u w:val="single"/>
          <w:lang w:eastAsia="ru-RU"/>
        </w:rPr>
        <w:t>Версия для печати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fldChar w:fldCharType="end"/>
      </w:r>
    </w:p>
    <w:p w:rsidR="003B5D58" w:rsidRPr="003B5D58" w:rsidRDefault="003B5D58" w:rsidP="003B5D58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Законом Республики Беларусь от 6 января 2022 года №151-З «Об изменении законов по вопросам профилактики правонарушений» внесены изменения и изменения в ряд Законов Республики Беларусь в том числе и в Закон Республики Беларусь «Об основах деятельности по профилактике правонарушений» (далее- Закон).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Изменениями определены основные термины и их определения, применяемые в настоящем Законе: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близкие родственники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родители, дети, усыновители (</w:t>
      </w:r>
      <w:proofErr w:type="spellStart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удочерители</w:t>
      </w:r>
      <w:proofErr w:type="spellEnd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), усыновленные (удочеренные), родные братья и сестры, дед, бабка, внуки, а также супруг (супруга);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действия психологического характера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воздействие на психику гражданина Республики Беларусь, иностранного гражданина и лица без гражданства (далее, если не определено иное, — гражданин) посредством угрозы, унижения чести и достоинства, совершения иных аморальных действий, которые объективно дают основания гражданину опасаться за свою безопасность или безопасность близких ему лиц;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действия сексуального характера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посягательство на половую свободу или половую неприкосновенность;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действия физического характера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причинение телесного повреждения, боли, мучений, нанесение побоев;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домашнее насилие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пострадавший от домашнего насилия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гражданин, которому в результате совершения домашнего насилия причинены физические и (или) психические страдания;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правонарушение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противоправное виновное действие (бездействие), за совершение которого предусмотрена уголовная или административная ответственность;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профилактический учет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— наблюдение за поведением гражданина, в отношении которого принято решение об осуществлении профилактического учета, в целях предупреждения с его стороны подготовки или совершения правонарушений и оказания на него профилактического воздействия.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lastRenderedPageBreak/>
        <w:t>Профилактический учет в отношении семейных агрессоров осуществляется в отношении следующих граждан: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-совершившего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- совершившего домашнее насилие и </w:t>
      </w:r>
      <w:proofErr w:type="gramStart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в отношении</w:t>
      </w:r>
      <w:proofErr w:type="gramEnd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которого в связи с этим проводится проверка в соответствии с требованиями уголовно 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Прекращение осуществления профилактического учета прекращается по истечении одного года со дня выявления последнего факта домашнего насилия.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Защитное предписание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 — установление гражданину, совершившему домашнее насилие, временных запретов на совершение определенных действий и </w:t>
      </w:r>
      <w:proofErr w:type="gramStart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обязанности для защиты жизни</w:t>
      </w:r>
      <w:proofErr w:type="gramEnd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и здоровья пострадавшего от домашнего насилия.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Защитное предписание применяется к гражданину, совершившему домашнее насилие и </w:t>
      </w:r>
      <w:proofErr w:type="gramStart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в отношении</w:t>
      </w:r>
      <w:proofErr w:type="gramEnd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которого в связи с этим: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-осуществляется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-проводится проверка в соответствии с требованиями уголовно 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Защитным предписанием гражданину, в отношении которого оно применено, может быть запрещено: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-предпринимать попытки выяснять место пребывания пострадавшего (пострадавших) от домашнего насилия, если этот пострадавший (пострадавшие) находится (находятся) в месте, неизвестном гражданину, совершившему домашнее насилие;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-посещать места нахождения пострадавшего (пострадавших) от домашнего насилия, если этот пострадавший (пострадавшие) временно находится (находятся) вне совместного места жительства или места пребывания;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lastRenderedPageBreak/>
        <w:t>-общаться с пострадавшим (пострадавшими) от домашнего насилия, в том числе по телефону, с использованием глобальной компьютерной сети Интернет;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-распоряжаться общей совместной с пострадавшим (пострадавшими) от домашнего насилия собственностью.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Защитным предписанием гражданину, в отношении которого оно применено, может быть установлена обязанность временно покинуть общее с пострадавшим (пострадавшими) от домашнего насилия жилое помещение.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u w:val="single"/>
          <w:lang w:eastAsia="ru-RU"/>
        </w:rPr>
        <w:t>Защитное предписание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 применяется либо продлевается уполномоченным должностным лицом органа внутренних дел с письменного согласия совершеннолетнего пострадавшего (пострадавших) от домашнего насилия с учетом оценки вероятности </w:t>
      </w:r>
      <w:proofErr w:type="gramStart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продолжения</w:t>
      </w:r>
      <w:proofErr w:type="gramEnd"/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либо повторного совершения домашнего насилия, наступления тяжких либо особо тяжких последствий его совершения, в том числе смерти пострадавшего от домашнего насилия (далее — риск домашнего насилия).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При отсутствии письменного согласия совершеннолетнего пострадавшего (пострадавших) от домашнего насилия, если этот пострадавший (пострадавшие) находится (находятся) в зависимости от гражданина, совершившего домашнее насилие, либо по иным причинам не способен (не способны) самостоятельно защитить свои права и законные интересы,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Защитное предписание вступает в силу с момента его объявления гражданину, в отношении которого оно применено.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Гражданину, в отношении которого применено защитное предписание с установлением обязанности, предоставляется возможность взять с собой только личные вещи. Указанный гражданин обязан сообщить должностному лицу органа внутренних дел о своем месте временного пребывания, передать ключи от общего с пострадавшим (пострадавшими) от домашнего насилия жилого помещения для передачи их пострадавшему (одному из пострадавших) от домашнего насилия.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Запреты и обязанность, устанавливаются на срок до пятнадцати суток с момента объявления защитного предписания гражданину, в отношении которого оно применено.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прокурором.</w:t>
      </w:r>
    </w:p>
    <w:p w:rsidR="003B5D58" w:rsidRPr="003B5D58" w:rsidRDefault="003B5D58" w:rsidP="003B5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Контроль за соблюдением гражданином, в отношении которого применено защитное предписание, установленных запретов и обязанности, наблюдение </w:t>
      </w:r>
      <w:r w:rsidRPr="003B5D58">
        <w:rPr>
          <w:rFonts w:ascii="Arial" w:eastAsia="Times New Roman" w:hAnsi="Arial" w:cs="Arial"/>
          <w:color w:val="424242"/>
          <w:sz w:val="26"/>
          <w:szCs w:val="26"/>
          <w:lang w:eastAsia="ru-RU"/>
        </w:rPr>
        <w:lastRenderedPageBreak/>
        <w:t>за его поведением по месту временного пребывания обеспечиваются органом внутренних дел.</w:t>
      </w:r>
    </w:p>
    <w:p w:rsidR="00E4736E" w:rsidRDefault="00E4736E"/>
    <w:sectPr w:rsidR="00E4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AE"/>
    <w:multiLevelType w:val="multilevel"/>
    <w:tmpl w:val="35B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1B"/>
    <w:rsid w:val="003B5D58"/>
    <w:rsid w:val="0064041B"/>
    <w:rsid w:val="00E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4F7D"/>
  <w15:chartTrackingRefBased/>
  <w15:docId w15:val="{01EA2BEA-B11D-4A8F-A3C9-B207716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6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Бондарович</dc:creator>
  <cp:keywords/>
  <dc:description/>
  <cp:lastModifiedBy>Бондарович</cp:lastModifiedBy>
  <cp:revision>2</cp:revision>
  <dcterms:created xsi:type="dcterms:W3CDTF">2024-01-18T13:52:00Z</dcterms:created>
  <dcterms:modified xsi:type="dcterms:W3CDTF">2024-01-18T13:53:00Z</dcterms:modified>
</cp:coreProperties>
</file>