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4D" w:rsidRDefault="00817E4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17E4D" w:rsidRDefault="00817E4D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817E4D" w:rsidRDefault="00817E4D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817E4D" w:rsidRDefault="00817E4D">
      <w:pPr>
        <w:pStyle w:val="changei"/>
      </w:pPr>
      <w:r>
        <w:t>Изменения и дополнения:</w:t>
      </w:r>
    </w:p>
    <w:p w:rsidR="00817E4D" w:rsidRDefault="00817E4D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817E4D" w:rsidRDefault="00817E4D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817E4D" w:rsidRDefault="00817E4D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817E4D" w:rsidRDefault="00817E4D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817E4D" w:rsidRDefault="00817E4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817E4D" w:rsidRDefault="00817E4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</w:t>
      </w:r>
    </w:p>
    <w:p w:rsidR="00817E4D" w:rsidRDefault="00817E4D">
      <w:pPr>
        <w:pStyle w:val="newncpi"/>
      </w:pPr>
      <w:r>
        <w:t> </w:t>
      </w:r>
    </w:p>
    <w:p w:rsidR="00817E4D" w:rsidRDefault="00817E4D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817E4D" w:rsidRDefault="00817E4D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817E4D" w:rsidRDefault="00817E4D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817E4D" w:rsidRDefault="00817E4D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817E4D" w:rsidRDefault="00817E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817E4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7E4D" w:rsidRDefault="00817E4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7E4D" w:rsidRDefault="00817E4D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817E4D" w:rsidRDefault="00817E4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817E4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capu1"/>
            </w:pPr>
            <w:r>
              <w:t>УТВЕРЖДЕНО</w:t>
            </w:r>
          </w:p>
          <w:p w:rsidR="00817E4D" w:rsidRDefault="00817E4D">
            <w:pPr>
              <w:pStyle w:val="cap1"/>
            </w:pPr>
            <w:r>
              <w:t>Постановление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817E4D" w:rsidRDefault="00817E4D">
      <w:pPr>
        <w:pStyle w:val="titleu"/>
      </w:pPr>
      <w:r>
        <w:lastRenderedPageBreak/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817E4D" w:rsidRDefault="00817E4D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817E4D" w:rsidRDefault="00817E4D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817E4D" w:rsidRDefault="00817E4D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817E4D" w:rsidRDefault="00817E4D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817E4D" w:rsidRDefault="00817E4D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817E4D" w:rsidRDefault="00817E4D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817E4D" w:rsidRDefault="00817E4D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817E4D" w:rsidRDefault="00817E4D">
      <w:pPr>
        <w:pStyle w:val="newncpi"/>
      </w:pPr>
      <w:r>
        <w:t>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817E4D" w:rsidRDefault="00817E4D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817E4D" w:rsidRDefault="00817E4D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817E4D" w:rsidRDefault="00817E4D">
      <w:pPr>
        <w:pStyle w:val="newncpi"/>
      </w:pPr>
      <w:r>
        <w:lastRenderedPageBreak/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817E4D" w:rsidRDefault="00817E4D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817E4D" w:rsidRDefault="00817E4D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817E4D" w:rsidRDefault="00817E4D">
      <w:pPr>
        <w:pStyle w:val="snoskiline"/>
      </w:pPr>
      <w:r>
        <w:t>______________________________</w:t>
      </w:r>
    </w:p>
    <w:p w:rsidR="00817E4D" w:rsidRDefault="00817E4D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817E4D" w:rsidRDefault="00817E4D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817E4D" w:rsidRDefault="00817E4D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817E4D" w:rsidRDefault="00817E4D">
      <w:pPr>
        <w:pStyle w:val="snoski"/>
        <w:spacing w:after="240"/>
      </w:pPr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817E4D" w:rsidRDefault="00817E4D">
      <w:pPr>
        <w:pStyle w:val="point"/>
      </w:pPr>
      <w:r>
        <w:t>5. Для реализации возложенных задач комиссия имеет право:</w:t>
      </w:r>
    </w:p>
    <w:p w:rsidR="00817E4D" w:rsidRDefault="00817E4D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817E4D" w:rsidRDefault="00817E4D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817E4D" w:rsidRDefault="00817E4D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817E4D" w:rsidRDefault="00817E4D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817E4D" w:rsidRDefault="00817E4D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817E4D" w:rsidRDefault="00817E4D">
      <w:pPr>
        <w:pStyle w:val="newncpi"/>
      </w:pPr>
      <w: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</w:t>
      </w:r>
      <w:r>
        <w:lastRenderedPageBreak/>
        <w:t>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817E4D" w:rsidRDefault="00817E4D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817E4D" w:rsidRDefault="00817E4D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817E4D" w:rsidRDefault="00817E4D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817E4D" w:rsidRDefault="00817E4D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817E4D" w:rsidRDefault="00817E4D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817E4D" w:rsidRDefault="00817E4D">
      <w:pPr>
        <w:pStyle w:val="newncpi"/>
      </w:pPr>
      <w:r>
        <w:t>реализовывать иные права в соответствии с законодательством.</w:t>
      </w:r>
    </w:p>
    <w:p w:rsidR="00817E4D" w:rsidRDefault="00817E4D">
      <w:pPr>
        <w:pStyle w:val="snoskiline"/>
      </w:pPr>
      <w:r>
        <w:t>______________________________</w:t>
      </w:r>
    </w:p>
    <w:p w:rsidR="00817E4D" w:rsidRDefault="00817E4D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817E4D" w:rsidRDefault="00817E4D">
      <w:pPr>
        <w:pStyle w:val="snoski"/>
        <w:spacing w:after="240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817E4D" w:rsidRDefault="00817E4D">
      <w:pPr>
        <w:pStyle w:val="point"/>
      </w:pPr>
      <w: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817E4D" w:rsidRDefault="00817E4D">
      <w:pPr>
        <w:pStyle w:val="newncpi"/>
      </w:pPr>
      <w:r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:rsidR="00817E4D" w:rsidRDefault="00817E4D">
      <w:pPr>
        <w:pStyle w:val="newncpi"/>
      </w:pPr>
      <w:r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:rsidR="00817E4D" w:rsidRDefault="00817E4D">
      <w:pPr>
        <w:pStyle w:val="newncpi"/>
      </w:pPr>
      <w:r>
        <w:t>Оплата труда по должности секретаря осуществляется в порядке, установленном законодательством.</w:t>
      </w:r>
    </w:p>
    <w:p w:rsidR="00817E4D" w:rsidRDefault="00817E4D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817E4D" w:rsidRDefault="00817E4D">
      <w:pPr>
        <w:pStyle w:val="newncpi"/>
      </w:pPr>
      <w:r>
        <w:t>Председатель комиссии:</w:t>
      </w:r>
    </w:p>
    <w:p w:rsidR="00817E4D" w:rsidRDefault="00817E4D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817E4D" w:rsidRDefault="00817E4D">
      <w:pPr>
        <w:pStyle w:val="newncpi"/>
      </w:pPr>
      <w:r>
        <w:t>проводит заседания комиссии и подписывает протоколы заседаний комиссии;</w:t>
      </w:r>
    </w:p>
    <w:p w:rsidR="00817E4D" w:rsidRDefault="00817E4D">
      <w:pPr>
        <w:pStyle w:val="newncpi"/>
      </w:pPr>
      <w:r>
        <w:t>планирует работу комиссии;</w:t>
      </w:r>
    </w:p>
    <w:p w:rsidR="00817E4D" w:rsidRDefault="00817E4D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817E4D" w:rsidRDefault="00817E4D">
      <w:pPr>
        <w:pStyle w:val="newncpi"/>
      </w:pPr>
      <w:r>
        <w:t>осуществляет иные функции в соответствии с законодательством.</w:t>
      </w:r>
    </w:p>
    <w:p w:rsidR="00817E4D" w:rsidRDefault="00817E4D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817E4D" w:rsidRDefault="00817E4D">
      <w:pPr>
        <w:pStyle w:val="point"/>
      </w:pPr>
      <w:r>
        <w:lastRenderedPageBreak/>
        <w:t>8. Секретарь комиссии:</w:t>
      </w:r>
    </w:p>
    <w:p w:rsidR="00817E4D" w:rsidRDefault="00817E4D">
      <w:pPr>
        <w:pStyle w:val="newncpi"/>
      </w:pPr>
      <w:r>
        <w:t>осуществляет подготовку материалов для рассмотрения на заседании комиссии;</w:t>
      </w:r>
    </w:p>
    <w:p w:rsidR="00817E4D" w:rsidRDefault="00817E4D">
      <w:pPr>
        <w:pStyle w:val="newncpi"/>
      </w:pPr>
      <w:r>
        <w:t>осуществляет подготовку заседаний комиссии;</w:t>
      </w:r>
    </w:p>
    <w:p w:rsidR="00817E4D" w:rsidRDefault="00817E4D">
      <w:pPr>
        <w:pStyle w:val="newncpi"/>
      </w:pPr>
      <w:r>
        <w:t>оформляет протоколы заседаний и решения комиссии;</w:t>
      </w:r>
    </w:p>
    <w:p w:rsidR="00817E4D" w:rsidRDefault="00817E4D">
      <w:pPr>
        <w:pStyle w:val="newncpi"/>
      </w:pPr>
      <w:r>
        <w:t>ведет делопроизводство в комиссии;</w:t>
      </w:r>
    </w:p>
    <w:p w:rsidR="00817E4D" w:rsidRDefault="00817E4D">
      <w:pPr>
        <w:pStyle w:val="newncpi"/>
      </w:pPr>
      <w:r>
        <w:t>осуществляет иные функции, возложенные на него председателем комиссии.</w:t>
      </w:r>
    </w:p>
    <w:p w:rsidR="00817E4D" w:rsidRDefault="00817E4D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817E4D" w:rsidRDefault="00817E4D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817E4D" w:rsidRDefault="00817E4D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817E4D" w:rsidRDefault="00817E4D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817E4D" w:rsidRDefault="00817E4D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817E4D" w:rsidRDefault="00817E4D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817E4D" w:rsidRDefault="00817E4D">
      <w:pPr>
        <w:pStyle w:val="point"/>
      </w:pPr>
      <w:r>
        <w:t>13. В протоколе заседания комиссии указываются:</w:t>
      </w:r>
    </w:p>
    <w:p w:rsidR="00817E4D" w:rsidRDefault="00817E4D">
      <w:pPr>
        <w:pStyle w:val="newncpi"/>
      </w:pPr>
      <w:r>
        <w:t>дата и место проведения заседания;</w:t>
      </w:r>
    </w:p>
    <w:p w:rsidR="00817E4D" w:rsidRDefault="00817E4D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817E4D" w:rsidRDefault="00817E4D">
      <w:pPr>
        <w:pStyle w:val="newncpi"/>
      </w:pPr>
      <w:r>
        <w:t>председательствующий на заседании;</w:t>
      </w:r>
    </w:p>
    <w:p w:rsidR="00817E4D" w:rsidRDefault="00817E4D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817E4D" w:rsidRDefault="00817E4D">
      <w:pPr>
        <w:pStyle w:val="newncpi"/>
      </w:pPr>
      <w:r>
        <w:t>результаты голосования и принятые решения.</w:t>
      </w:r>
    </w:p>
    <w:p w:rsidR="00817E4D" w:rsidRDefault="00817E4D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817E4D" w:rsidRDefault="00817E4D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817E4D" w:rsidRDefault="00817E4D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817E4D" w:rsidRDefault="00817E4D">
      <w:pPr>
        <w:pStyle w:val="point"/>
      </w:pPr>
      <w:r>
        <w:t>17. Исключен.</w:t>
      </w:r>
    </w:p>
    <w:p w:rsidR="00817E4D" w:rsidRDefault="00817E4D">
      <w:pPr>
        <w:pStyle w:val="point"/>
      </w:pPr>
      <w:r>
        <w:t>18. Исключен.</w:t>
      </w:r>
    </w:p>
    <w:p w:rsidR="00817E4D" w:rsidRDefault="00817E4D">
      <w:pPr>
        <w:pStyle w:val="point"/>
      </w:pPr>
      <w:r>
        <w:t>19. После получения доступа к базе данных комиссии организуют работу с гражданами, сведения о которых содержатся в ней,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817E4D" w:rsidRDefault="00817E4D">
      <w:pPr>
        <w:pStyle w:val="point"/>
      </w:pPr>
      <w:r>
        <w:t xml:space="preserve">20. Сформированный список трудоспособных граждан, не занятых в экономике, оплачивающих услуги с возмещением затрат, до 5-го числа второго месяца каждого </w:t>
      </w:r>
      <w:r>
        <w:lastRenderedPageBreak/>
        <w:t>квартала направляется для утверждения в районный (городской) исполнительный комитет (местную администрацию). Утвержденный список не позднее 9-го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</w:p>
    <w:p w:rsidR="00817E4D" w:rsidRDefault="00817E4D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районный (городской) исполнительный комитет (местную администрацию). 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817E4D" w:rsidRDefault="00817E4D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817E4D" w:rsidRDefault="00817E4D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817E4D" w:rsidRDefault="00817E4D">
      <w:pPr>
        <w:pStyle w:val="newncpi"/>
      </w:pPr>
      <w:r>
        <w:t>Пересмотренные списки до 1-го числа месяца, следующего за месяцем их формирования, направляются для утверждения в районный (городской) исполнительный комитет (местную администрацию).</w:t>
      </w:r>
    </w:p>
    <w:p w:rsidR="00817E4D" w:rsidRDefault="00817E4D">
      <w:pPr>
        <w:pStyle w:val="newncpi"/>
      </w:pPr>
      <w:r>
        <w:t>Утвержденные пересмотренные списки до 5-го числа месяца, следующего за месяцем их формирования, направляются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817E4D" w:rsidRDefault="00817E4D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817E4D" w:rsidRDefault="00817E4D">
      <w:pPr>
        <w:pStyle w:val="point"/>
      </w:pPr>
      <w:r>
        <w:t>22. По результатам работы комиссия представляет оператору базы данных информацию для корректировки базы данных.</w:t>
      </w:r>
    </w:p>
    <w:p w:rsidR="00817E4D" w:rsidRDefault="00817E4D">
      <w:pPr>
        <w:pStyle w:val="newncpi"/>
      </w:pPr>
      <w:r>
        <w:t> </w:t>
      </w:r>
    </w:p>
    <w:p w:rsidR="00817E4D" w:rsidRDefault="00817E4D">
      <w:pPr>
        <w:rPr>
          <w:rFonts w:eastAsia="Times New Roman"/>
        </w:rPr>
        <w:sectPr w:rsidR="00817E4D" w:rsidSect="00817E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817E4D" w:rsidRDefault="00817E4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817E4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append1"/>
            </w:pPr>
            <w:r>
              <w:t>Приложение</w:t>
            </w:r>
          </w:p>
          <w:p w:rsidR="00817E4D" w:rsidRDefault="00817E4D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817E4D" w:rsidRDefault="00817E4D">
      <w:pPr>
        <w:pStyle w:val="newncpi"/>
      </w:pPr>
      <w:r>
        <w:t> </w:t>
      </w:r>
    </w:p>
    <w:p w:rsidR="00817E4D" w:rsidRDefault="00817E4D">
      <w:pPr>
        <w:pStyle w:val="onestring"/>
      </w:pPr>
      <w:r>
        <w:t>Форма</w:t>
      </w:r>
    </w:p>
    <w:p w:rsidR="00817E4D" w:rsidRDefault="00817E4D">
      <w:pPr>
        <w:pStyle w:val="newncpi"/>
      </w:pPr>
      <w:r>
        <w:t> </w:t>
      </w:r>
    </w:p>
    <w:p w:rsidR="00817E4D" w:rsidRDefault="00817E4D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817E4D" w:rsidRDefault="00817E4D">
      <w:pPr>
        <w:pStyle w:val="newncpi0"/>
        <w:ind w:left="5387"/>
      </w:pPr>
      <w:r>
        <w:t>________________________</w:t>
      </w:r>
    </w:p>
    <w:p w:rsidR="00817E4D" w:rsidRDefault="00817E4D">
      <w:pPr>
        <w:pStyle w:val="titlep"/>
      </w:pPr>
      <w:r>
        <w:t>ЗАЯВЛЕНИЕ</w:t>
      </w:r>
    </w:p>
    <w:p w:rsidR="00817E4D" w:rsidRDefault="00817E4D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817E4D" w:rsidRDefault="00817E4D">
      <w:pPr>
        <w:pStyle w:val="newncpi0"/>
      </w:pPr>
      <w:r>
        <w:t>Число, месяц, год рождения _____________________________________________________</w:t>
      </w:r>
    </w:p>
    <w:p w:rsidR="00817E4D" w:rsidRDefault="00817E4D">
      <w:pPr>
        <w:pStyle w:val="newncpi0"/>
      </w:pPr>
      <w:r>
        <w:t>Наименование документа, удостоверяющего личность, ______________________________</w:t>
      </w:r>
    </w:p>
    <w:p w:rsidR="00817E4D" w:rsidRDefault="00817E4D">
      <w:pPr>
        <w:pStyle w:val="newncpi0"/>
      </w:pPr>
      <w:r>
        <w:t>серия ____________ № _______________, _________________________________________</w:t>
      </w:r>
    </w:p>
    <w:p w:rsidR="00817E4D" w:rsidRDefault="00817E4D">
      <w:pPr>
        <w:pStyle w:val="undline"/>
        <w:ind w:left="6096"/>
      </w:pPr>
      <w:r>
        <w:t>(когда и кем выдан)</w:t>
      </w:r>
    </w:p>
    <w:p w:rsidR="00817E4D" w:rsidRDefault="00817E4D">
      <w:pPr>
        <w:pStyle w:val="newncpi0"/>
      </w:pPr>
      <w:r>
        <w:t>Зарегистрирован по адресу: _____________________________________________________</w:t>
      </w:r>
    </w:p>
    <w:p w:rsidR="00817E4D" w:rsidRDefault="00817E4D">
      <w:pPr>
        <w:pStyle w:val="newncpi"/>
      </w:pPr>
      <w:r>
        <w:t>Прошу освободить меня (члена моей семьи) __________________________________</w:t>
      </w:r>
    </w:p>
    <w:p w:rsidR="00817E4D" w:rsidRDefault="00817E4D">
      <w:pPr>
        <w:pStyle w:val="undline"/>
        <w:ind w:left="6521"/>
      </w:pPr>
      <w:r>
        <w:t>(фамилия,</w:t>
      </w:r>
    </w:p>
    <w:p w:rsidR="00817E4D" w:rsidRDefault="00817E4D">
      <w:pPr>
        <w:pStyle w:val="newncpi0"/>
      </w:pPr>
      <w:r>
        <w:t>_____________________________________________________________________________</w:t>
      </w:r>
    </w:p>
    <w:p w:rsidR="00817E4D" w:rsidRDefault="00817E4D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817E4D" w:rsidRDefault="00817E4D">
      <w:pPr>
        <w:pStyle w:val="newncpi0"/>
      </w:pPr>
      <w:r>
        <w:t>от оплаты услуг с возмещением затрат по причине __________________________________</w:t>
      </w:r>
    </w:p>
    <w:p w:rsidR="00817E4D" w:rsidRDefault="00817E4D">
      <w:pPr>
        <w:pStyle w:val="newncpi0"/>
      </w:pPr>
      <w:r>
        <w:t>_____________________________________________________________________________</w:t>
      </w:r>
    </w:p>
    <w:p w:rsidR="00817E4D" w:rsidRDefault="00817E4D">
      <w:pPr>
        <w:pStyle w:val="newncpi0"/>
      </w:pPr>
      <w:r>
        <w:t>Член семьи:</w:t>
      </w:r>
    </w:p>
    <w:p w:rsidR="00817E4D" w:rsidRDefault="00817E4D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817E4D" w:rsidRDefault="00817E4D">
      <w:pPr>
        <w:pStyle w:val="newncpi0"/>
      </w:pPr>
      <w:r>
        <w:t>Число, месяц, год рождения _____________________________________________________</w:t>
      </w:r>
    </w:p>
    <w:p w:rsidR="00817E4D" w:rsidRDefault="00817E4D">
      <w:pPr>
        <w:pStyle w:val="newncpi0"/>
      </w:pPr>
      <w:r>
        <w:t>Наименование документа, удостоверяющего личность, ______________________________</w:t>
      </w:r>
    </w:p>
    <w:p w:rsidR="00817E4D" w:rsidRDefault="00817E4D">
      <w:pPr>
        <w:pStyle w:val="newncpi0"/>
      </w:pPr>
      <w:r>
        <w:t>серия ____________ № _______________, _________________________________________</w:t>
      </w:r>
    </w:p>
    <w:p w:rsidR="00817E4D" w:rsidRDefault="00817E4D">
      <w:pPr>
        <w:pStyle w:val="undline"/>
        <w:ind w:left="5812"/>
      </w:pPr>
      <w:r>
        <w:t>(когда и кем выдан)</w:t>
      </w:r>
    </w:p>
    <w:p w:rsidR="00817E4D" w:rsidRDefault="00817E4D">
      <w:pPr>
        <w:pStyle w:val="newncpi0"/>
      </w:pPr>
      <w:r>
        <w:t>Зарегистрирован по адресу: _____________________________________________________</w:t>
      </w:r>
    </w:p>
    <w:p w:rsidR="00817E4D" w:rsidRDefault="00817E4D">
      <w:pPr>
        <w:pStyle w:val="newncpi0"/>
      </w:pPr>
      <w:r>
        <w:t>Документы, подтверждающие указанную причину, прилагаются.</w:t>
      </w:r>
    </w:p>
    <w:p w:rsidR="00817E4D" w:rsidRDefault="00817E4D">
      <w:pPr>
        <w:pStyle w:val="newncpi0"/>
      </w:pPr>
      <w:r>
        <w:t>Приложение: _________________________________________________________________</w:t>
      </w:r>
    </w:p>
    <w:p w:rsidR="00817E4D" w:rsidRDefault="00817E4D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817E4D" w:rsidRDefault="00817E4D">
      <w:pPr>
        <w:pStyle w:val="newncpi0"/>
      </w:pPr>
      <w:r>
        <w:t>_____________________________________________________________________________</w:t>
      </w:r>
    </w:p>
    <w:p w:rsidR="00817E4D" w:rsidRDefault="00817E4D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817E4D" w:rsidRDefault="00817E4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817E4D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newncpi0"/>
            </w:pPr>
            <w:r>
              <w:t>____ _____________ 20__ г.</w:t>
            </w:r>
          </w:p>
        </w:tc>
      </w:tr>
      <w:tr w:rsidR="00817E4D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newncpi0"/>
            </w:pPr>
            <w:r>
              <w:t> </w:t>
            </w:r>
          </w:p>
        </w:tc>
      </w:tr>
    </w:tbl>
    <w:p w:rsidR="00817E4D" w:rsidRDefault="00817E4D">
      <w:pPr>
        <w:pStyle w:val="newncpi0"/>
      </w:pPr>
      <w:r>
        <w:t> </w:t>
      </w:r>
    </w:p>
    <w:p w:rsidR="00817E4D" w:rsidRDefault="00817E4D">
      <w:pPr>
        <w:pStyle w:val="newncpi0"/>
      </w:pPr>
      <w:r>
        <w:t>Секретарь, работник,</w:t>
      </w:r>
    </w:p>
    <w:p w:rsidR="00817E4D" w:rsidRDefault="00817E4D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2"/>
        <w:gridCol w:w="5559"/>
      </w:tblGrid>
      <w:tr w:rsidR="00817E4D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newncpi0"/>
            </w:pPr>
            <w:r>
              <w:t>____________________</w:t>
            </w:r>
          </w:p>
        </w:tc>
      </w:tr>
      <w:tr w:rsidR="00817E4D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7E4D" w:rsidRDefault="00817E4D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817E4D" w:rsidRDefault="00817E4D">
      <w:pPr>
        <w:pStyle w:val="newncpi"/>
      </w:pPr>
      <w:r>
        <w:t> </w:t>
      </w:r>
    </w:p>
    <w:p w:rsidR="00817E4D" w:rsidRDefault="00817E4D">
      <w:pPr>
        <w:pStyle w:val="newncpi"/>
      </w:pPr>
      <w:r>
        <w:t> </w:t>
      </w:r>
    </w:p>
    <w:p w:rsidR="00BC03AE" w:rsidRDefault="00BC03AE"/>
    <w:sectPr w:rsidR="00BC03AE" w:rsidSect="00817E4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09" w:rsidRDefault="00950C09" w:rsidP="00817E4D">
      <w:r>
        <w:separator/>
      </w:r>
    </w:p>
  </w:endnote>
  <w:endnote w:type="continuationSeparator" w:id="1">
    <w:p w:rsidR="00950C09" w:rsidRDefault="00950C09" w:rsidP="0081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4D" w:rsidRDefault="00817E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4D" w:rsidRDefault="00817E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817E4D" w:rsidTr="00817E4D">
      <w:tc>
        <w:tcPr>
          <w:tcW w:w="1800" w:type="dxa"/>
          <w:shd w:val="clear" w:color="auto" w:fill="auto"/>
          <w:vAlign w:val="center"/>
        </w:tcPr>
        <w:p w:rsidR="00817E4D" w:rsidRDefault="00817E4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17E4D" w:rsidRDefault="00817E4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17E4D" w:rsidRDefault="00817E4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07.02.2024</w:t>
          </w:r>
        </w:p>
        <w:p w:rsidR="00817E4D" w:rsidRPr="00817E4D" w:rsidRDefault="00817E4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17E4D" w:rsidRDefault="00817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09" w:rsidRDefault="00950C09" w:rsidP="00817E4D">
      <w:r>
        <w:separator/>
      </w:r>
    </w:p>
  </w:footnote>
  <w:footnote w:type="continuationSeparator" w:id="1">
    <w:p w:rsidR="00950C09" w:rsidRDefault="00950C09" w:rsidP="0081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4D" w:rsidRDefault="00817E4D" w:rsidP="00BA06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E4D" w:rsidRDefault="00817E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4D" w:rsidRPr="00817E4D" w:rsidRDefault="00817E4D" w:rsidP="00BA06F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17E4D">
      <w:rPr>
        <w:rStyle w:val="a7"/>
        <w:rFonts w:ascii="Times New Roman" w:hAnsi="Times New Roman" w:cs="Times New Roman"/>
        <w:sz w:val="24"/>
      </w:rPr>
      <w:fldChar w:fldCharType="begin"/>
    </w:r>
    <w:r w:rsidRPr="00817E4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17E4D">
      <w:rPr>
        <w:rStyle w:val="a7"/>
        <w:rFonts w:ascii="Times New Roman" w:hAnsi="Times New Roman" w:cs="Times New Roman"/>
        <w:sz w:val="24"/>
      </w:rPr>
      <w:fldChar w:fldCharType="separate"/>
    </w:r>
    <w:r w:rsidR="002F7771">
      <w:rPr>
        <w:rStyle w:val="a7"/>
        <w:rFonts w:ascii="Times New Roman" w:hAnsi="Times New Roman" w:cs="Times New Roman"/>
        <w:noProof/>
        <w:sz w:val="24"/>
      </w:rPr>
      <w:t>2</w:t>
    </w:r>
    <w:r w:rsidRPr="00817E4D">
      <w:rPr>
        <w:rStyle w:val="a7"/>
        <w:rFonts w:ascii="Times New Roman" w:hAnsi="Times New Roman" w:cs="Times New Roman"/>
        <w:sz w:val="24"/>
      </w:rPr>
      <w:fldChar w:fldCharType="end"/>
    </w:r>
  </w:p>
  <w:p w:rsidR="00817E4D" w:rsidRPr="00817E4D" w:rsidRDefault="00817E4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4D" w:rsidRDefault="00817E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E4D"/>
    <w:rsid w:val="001173D4"/>
    <w:rsid w:val="002F7771"/>
    <w:rsid w:val="00311CE4"/>
    <w:rsid w:val="00477BBD"/>
    <w:rsid w:val="00582209"/>
    <w:rsid w:val="0066229A"/>
    <w:rsid w:val="006A1430"/>
    <w:rsid w:val="00817E4D"/>
    <w:rsid w:val="00950C09"/>
    <w:rsid w:val="00BC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17E4D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17E4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7E4D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7E4D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17E4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17E4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7E4D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7E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17E4D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7E4D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7E4D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17E4D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7E4D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7E4D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7E4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7E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7E4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17E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7E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7E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7E4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7E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7E4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17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E4D"/>
  </w:style>
  <w:style w:type="paragraph" w:styleId="a5">
    <w:name w:val="footer"/>
    <w:basedOn w:val="a"/>
    <w:link w:val="a6"/>
    <w:uiPriority w:val="99"/>
    <w:semiHidden/>
    <w:unhideWhenUsed/>
    <w:rsid w:val="00817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E4D"/>
  </w:style>
  <w:style w:type="character" w:styleId="a7">
    <w:name w:val="page number"/>
    <w:basedOn w:val="a0"/>
    <w:uiPriority w:val="99"/>
    <w:semiHidden/>
    <w:unhideWhenUsed/>
    <w:rsid w:val="00817E4D"/>
  </w:style>
  <w:style w:type="table" w:styleId="a8">
    <w:name w:val="Table Grid"/>
    <w:basedOn w:val="a1"/>
    <w:uiPriority w:val="59"/>
    <w:rsid w:val="00817E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2476</Words>
  <Characters>18475</Characters>
  <Application>Microsoft Office Word</Application>
  <DocSecurity>0</DocSecurity>
  <Lines>362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</dc:creator>
  <cp:lastModifiedBy>Труш</cp:lastModifiedBy>
  <cp:revision>1</cp:revision>
  <dcterms:created xsi:type="dcterms:W3CDTF">2024-02-07T11:10:00Z</dcterms:created>
  <dcterms:modified xsi:type="dcterms:W3CDTF">2024-02-07T11:34:00Z</dcterms:modified>
</cp:coreProperties>
</file>